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A6" w:rsidRDefault="006553D9">
      <w:pPr>
        <w:spacing w:before="84"/>
        <w:ind w:left="112"/>
        <w:rPr>
          <w:b/>
          <w:sz w:val="18"/>
        </w:rPr>
      </w:pPr>
      <w:r>
        <w:rPr>
          <w:b/>
          <w:color w:val="4F4F4F"/>
          <w:sz w:val="18"/>
        </w:rPr>
        <w:t>01/04/18 COMUNICADO</w:t>
      </w:r>
    </w:p>
    <w:p w:rsidR="006044A6" w:rsidRDefault="006044A6">
      <w:pPr>
        <w:pStyle w:val="Textoindependiente"/>
        <w:spacing w:before="7"/>
        <w:rPr>
          <w:b/>
          <w:sz w:val="21"/>
        </w:rPr>
      </w:pPr>
    </w:p>
    <w:p w:rsidR="006044A6" w:rsidRDefault="006553D9">
      <w:pPr>
        <w:spacing w:before="1"/>
        <w:ind w:left="112"/>
        <w:rPr>
          <w:rFonts w:ascii="Trebuchet MS"/>
          <w:sz w:val="32"/>
        </w:rPr>
      </w:pPr>
      <w:r>
        <w:rPr>
          <w:rFonts w:ascii="Trebuchet MS"/>
          <w:color w:val="2D74B5"/>
          <w:sz w:val="32"/>
        </w:rPr>
        <w:t>VENTAS MINORISTAS PYMES: CAYERON 2% EN MARZO</w:t>
      </w:r>
    </w:p>
    <w:p w:rsidR="006044A6" w:rsidRDefault="006553D9">
      <w:pPr>
        <w:pStyle w:val="Ttulo1"/>
        <w:spacing w:before="240" w:line="283" w:lineRule="auto"/>
        <w:ind w:right="121"/>
      </w:pPr>
      <w:r>
        <w:rPr>
          <w:color w:val="494949"/>
        </w:rPr>
        <w:t>La actividad continúa sin repuntar, pero el empresario mantiene su optimismo para los próximos meses. La renovación del Ahora 12 seguramente sostendrá el consumo.</w:t>
      </w:r>
    </w:p>
    <w:p w:rsidR="006044A6" w:rsidRDefault="006044A6">
      <w:pPr>
        <w:pStyle w:val="Textoindependiente"/>
        <w:spacing w:before="9"/>
        <w:rPr>
          <w:rFonts w:ascii="Times New Roman"/>
          <w:sz w:val="20"/>
        </w:rPr>
      </w:pPr>
    </w:p>
    <w:p w:rsidR="006044A6" w:rsidRDefault="006553D9">
      <w:pPr>
        <w:spacing w:before="1" w:line="283" w:lineRule="auto"/>
        <w:ind w:left="264" w:right="11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t>Las ventas minoristas de los comercios Pymes finalizaron marzo con una caída de 2% frente a igual mes del año pasado, medidas a precios constantes, y acumulan una baja anual de 1,5% en los primeros tres meses del año. Comparadas con febrero subieron 10%, incremento que se explica básicamente por cuestiones estacionales.</w:t>
      </w:r>
    </w:p>
    <w:p w:rsidR="006044A6" w:rsidRDefault="006044A6">
      <w:pPr>
        <w:pStyle w:val="Textoindependiente"/>
        <w:spacing w:before="9"/>
        <w:rPr>
          <w:rFonts w:ascii="Times New Roman"/>
          <w:sz w:val="20"/>
        </w:rPr>
      </w:pPr>
    </w:p>
    <w:p w:rsidR="006044A6" w:rsidRDefault="006553D9">
      <w:pPr>
        <w:spacing w:line="283" w:lineRule="auto"/>
        <w:ind w:left="264" w:right="11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t>A pesar que se sintió más presencia de consumidores en la calle que en febrero, el despacho fue insuficiente por la falta de efectivo y el mayor cuidado del ingreso en la economía familiar. Los movimientos constantes en el tipo de cambio tampoco ayudaron porque sumaron incertidumbre.</w:t>
      </w:r>
    </w:p>
    <w:p w:rsidR="006044A6" w:rsidRDefault="006044A6">
      <w:pPr>
        <w:pStyle w:val="Textoindependiente"/>
        <w:spacing w:before="10"/>
        <w:rPr>
          <w:rFonts w:ascii="Times New Roman"/>
          <w:sz w:val="20"/>
        </w:rPr>
      </w:pPr>
    </w:p>
    <w:p w:rsidR="006044A6" w:rsidRDefault="006553D9">
      <w:pPr>
        <w:spacing w:line="283" w:lineRule="auto"/>
        <w:ind w:left="264" w:right="11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t>Hubo mucho desplazamiento de ventas hacia canales alternativos. En indumentaria, calzados, blanquearía, lencería y joyería se sintió la mayor competencia del comercio informal. En alimentos y bebidas, la línea mayorista captó muchas compras de los minoristas, y también los hipermercados y grandes</w:t>
      </w:r>
      <w:r>
        <w:rPr>
          <w:rFonts w:ascii="Times New Roman" w:hAnsi="Times New Roman"/>
          <w:color w:val="494949"/>
          <w:spacing w:val="-8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bocas</w:t>
      </w:r>
      <w:r>
        <w:rPr>
          <w:rFonts w:ascii="Times New Roman" w:hAnsi="Times New Roman"/>
          <w:color w:val="494949"/>
          <w:spacing w:val="-7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de</w:t>
      </w:r>
      <w:r>
        <w:rPr>
          <w:rFonts w:ascii="Times New Roman" w:hAnsi="Times New Roman"/>
          <w:color w:val="494949"/>
          <w:spacing w:val="-6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expendio</w:t>
      </w:r>
      <w:r>
        <w:rPr>
          <w:rFonts w:ascii="Times New Roman" w:hAnsi="Times New Roman"/>
          <w:color w:val="494949"/>
          <w:spacing w:val="-6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se</w:t>
      </w:r>
      <w:r>
        <w:rPr>
          <w:rFonts w:ascii="Times New Roman" w:hAnsi="Times New Roman"/>
          <w:color w:val="494949"/>
          <w:spacing w:val="-6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llevaron</w:t>
      </w:r>
      <w:r>
        <w:rPr>
          <w:rFonts w:ascii="Times New Roman" w:hAnsi="Times New Roman"/>
          <w:color w:val="494949"/>
          <w:spacing w:val="-6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clientes</w:t>
      </w:r>
      <w:r>
        <w:rPr>
          <w:rFonts w:ascii="Times New Roman" w:hAnsi="Times New Roman"/>
          <w:color w:val="494949"/>
          <w:spacing w:val="-7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de</w:t>
      </w:r>
      <w:r>
        <w:rPr>
          <w:rFonts w:ascii="Times New Roman" w:hAnsi="Times New Roman"/>
          <w:color w:val="494949"/>
          <w:spacing w:val="-6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negocios</w:t>
      </w:r>
      <w:r>
        <w:rPr>
          <w:rFonts w:ascii="Times New Roman" w:hAnsi="Times New Roman"/>
          <w:color w:val="494949"/>
          <w:spacing w:val="-8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Pymes</w:t>
      </w:r>
      <w:r>
        <w:rPr>
          <w:rFonts w:ascii="Times New Roman" w:hAnsi="Times New Roman"/>
          <w:color w:val="494949"/>
          <w:spacing w:val="-7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que</w:t>
      </w:r>
      <w:r>
        <w:rPr>
          <w:rFonts w:ascii="Times New Roman" w:hAnsi="Times New Roman"/>
          <w:color w:val="494949"/>
          <w:spacing w:val="-6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se</w:t>
      </w:r>
      <w:r>
        <w:rPr>
          <w:rFonts w:ascii="Times New Roman" w:hAnsi="Times New Roman"/>
          <w:color w:val="494949"/>
          <w:spacing w:val="-3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vieron</w:t>
      </w:r>
      <w:r>
        <w:rPr>
          <w:rFonts w:ascii="Times New Roman" w:hAnsi="Times New Roman"/>
          <w:color w:val="494949"/>
          <w:spacing w:val="-6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tentados</w:t>
      </w:r>
      <w:r>
        <w:rPr>
          <w:rFonts w:ascii="Times New Roman" w:hAnsi="Times New Roman"/>
          <w:color w:val="494949"/>
          <w:spacing w:val="-7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por</w:t>
      </w:r>
      <w:r>
        <w:rPr>
          <w:rFonts w:ascii="Times New Roman" w:hAnsi="Times New Roman"/>
          <w:color w:val="494949"/>
          <w:spacing w:val="-6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las</w:t>
      </w:r>
      <w:r>
        <w:rPr>
          <w:rFonts w:ascii="Times New Roman" w:hAnsi="Times New Roman"/>
          <w:color w:val="494949"/>
          <w:spacing w:val="-7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mejores condiciones de</w:t>
      </w:r>
      <w:r>
        <w:rPr>
          <w:rFonts w:ascii="Times New Roman" w:hAnsi="Times New Roman"/>
          <w:color w:val="494949"/>
          <w:spacing w:val="-2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promoción.</w:t>
      </w:r>
    </w:p>
    <w:p w:rsidR="006044A6" w:rsidRDefault="006044A6">
      <w:pPr>
        <w:pStyle w:val="Textoindependiente"/>
        <w:spacing w:before="10"/>
        <w:rPr>
          <w:rFonts w:ascii="Times New Roman"/>
          <w:sz w:val="20"/>
        </w:rPr>
      </w:pPr>
    </w:p>
    <w:p w:rsidR="006044A6" w:rsidRDefault="006553D9">
      <w:pPr>
        <w:spacing w:line="283" w:lineRule="auto"/>
        <w:ind w:left="264" w:right="12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t>Se movieron mejor las operaciones con financiamiento, pero muchos consumidores se encontraron con sus tarjetas cargadas, y debieron postergar la compra por el rechazo a la hora de pagar. El ‘Ahora 12’, Ahora 6 y 3 siguieron siendo una alternativa usada al momento de decidir la transacción.</w:t>
      </w:r>
    </w:p>
    <w:p w:rsidR="006044A6" w:rsidRDefault="006044A6">
      <w:pPr>
        <w:pStyle w:val="Textoindependiente"/>
        <w:spacing w:before="10"/>
        <w:rPr>
          <w:rFonts w:ascii="Times New Roman"/>
          <w:sz w:val="20"/>
        </w:rPr>
      </w:pPr>
    </w:p>
    <w:p w:rsidR="006044A6" w:rsidRDefault="006553D9">
      <w:pPr>
        <w:spacing w:line="283" w:lineRule="auto"/>
        <w:ind w:left="264" w:right="12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t xml:space="preserve">Los locales con mejor </w:t>
      </w:r>
      <w:r>
        <w:rPr>
          <w:rFonts w:ascii="Times New Roman" w:hAnsi="Times New Roman"/>
          <w:i/>
          <w:color w:val="494949"/>
          <w:sz w:val="23"/>
        </w:rPr>
        <w:t xml:space="preserve">performance </w:t>
      </w:r>
      <w:r>
        <w:rPr>
          <w:rFonts w:ascii="Times New Roman" w:hAnsi="Times New Roman"/>
          <w:color w:val="494949"/>
          <w:sz w:val="23"/>
        </w:rPr>
        <w:t>hicieron liquidaciones u ofertas agresivas para atraer público y así renovar productos. Se notó sobre todo en sectores retraídos como calzados, indumentaria y bazares. Más comercios se sumaron en marzo a la venta online, para cautivar al cliente joven que está desa</w:t>
      </w:r>
      <w:bookmarkStart w:id="0" w:name="_GoBack"/>
      <w:bookmarkEnd w:id="0"/>
      <w:r>
        <w:rPr>
          <w:rFonts w:ascii="Times New Roman" w:hAnsi="Times New Roman"/>
          <w:color w:val="494949"/>
          <w:sz w:val="23"/>
        </w:rPr>
        <w:t>pareciendo de las tiendas físicas.</w:t>
      </w:r>
    </w:p>
    <w:p w:rsidR="006044A6" w:rsidRDefault="006044A6">
      <w:pPr>
        <w:pStyle w:val="Textoindependiente"/>
        <w:spacing w:before="10"/>
        <w:rPr>
          <w:rFonts w:ascii="Times New Roman"/>
          <w:sz w:val="20"/>
        </w:rPr>
      </w:pPr>
    </w:p>
    <w:p w:rsidR="006044A6" w:rsidRDefault="006553D9">
      <w:pPr>
        <w:spacing w:line="283" w:lineRule="auto"/>
        <w:ind w:left="264" w:right="11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t>En marzo, el 50,2% de los negocios consultados tuvieron bajas anuales en sus despachos, el 37,0% registró</w:t>
      </w:r>
      <w:r>
        <w:rPr>
          <w:rFonts w:ascii="Times New Roman" w:hAnsi="Times New Roman"/>
          <w:color w:val="494949"/>
          <w:spacing w:val="-10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aumentos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y</w:t>
      </w:r>
      <w:r>
        <w:rPr>
          <w:rFonts w:ascii="Times New Roman" w:hAnsi="Times New Roman"/>
          <w:color w:val="494949"/>
          <w:spacing w:val="-13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el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12,8%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se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mantuvo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sin</w:t>
      </w:r>
      <w:r>
        <w:rPr>
          <w:rFonts w:ascii="Times New Roman" w:hAnsi="Times New Roman"/>
          <w:color w:val="494949"/>
          <w:spacing w:val="-11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cambios.</w:t>
      </w:r>
      <w:r>
        <w:rPr>
          <w:rFonts w:ascii="Times New Roman" w:hAnsi="Times New Roman"/>
          <w:color w:val="494949"/>
          <w:spacing w:val="-10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Como</w:t>
      </w:r>
      <w:r>
        <w:rPr>
          <w:rFonts w:ascii="Times New Roman" w:hAnsi="Times New Roman"/>
          <w:color w:val="494949"/>
          <w:spacing w:val="-8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dato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positivo,</w:t>
      </w:r>
      <w:r>
        <w:rPr>
          <w:rFonts w:ascii="Times New Roman" w:hAnsi="Times New Roman"/>
          <w:color w:val="494949"/>
          <w:spacing w:val="-10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el</w:t>
      </w:r>
      <w:r>
        <w:rPr>
          <w:rFonts w:ascii="Times New Roman" w:hAnsi="Times New Roman"/>
          <w:color w:val="494949"/>
          <w:spacing w:val="-10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66,5%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de</w:t>
      </w:r>
      <w:r>
        <w:rPr>
          <w:rFonts w:ascii="Times New Roman" w:hAnsi="Times New Roman"/>
          <w:color w:val="494949"/>
          <w:spacing w:val="-11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los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locales</w:t>
      </w:r>
      <w:r>
        <w:rPr>
          <w:rFonts w:ascii="Times New Roman" w:hAnsi="Times New Roman"/>
          <w:color w:val="494949"/>
          <w:spacing w:val="-9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espera que aumenten las ventas en los próximos meses, un porcentaje interesante en medio del complicado panorama donde pocos comercios</w:t>
      </w:r>
      <w:r>
        <w:rPr>
          <w:rFonts w:ascii="Times New Roman" w:hAnsi="Times New Roman"/>
          <w:color w:val="494949"/>
          <w:spacing w:val="-3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crecen.</w:t>
      </w:r>
    </w:p>
    <w:p w:rsidR="006044A6" w:rsidRDefault="006044A6">
      <w:pPr>
        <w:pStyle w:val="Textoindependiente"/>
        <w:spacing w:before="10"/>
        <w:rPr>
          <w:rFonts w:ascii="Times New Roman"/>
          <w:sz w:val="20"/>
        </w:rPr>
      </w:pPr>
    </w:p>
    <w:p w:rsidR="006044A6" w:rsidRDefault="006553D9">
      <w:pPr>
        <w:spacing w:line="283" w:lineRule="auto"/>
        <w:ind w:left="264" w:right="11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t>Las siguientes fueron las principales variaciones en los volúmenes físicos vendidos en marzo de 2018 frente a igual fecha de 2017 relevadas en 2000 comercios físicos del país:</w:t>
      </w:r>
    </w:p>
    <w:p w:rsidR="006044A6" w:rsidRDefault="006044A6">
      <w:pPr>
        <w:spacing w:line="283" w:lineRule="auto"/>
        <w:jc w:val="both"/>
        <w:rPr>
          <w:rFonts w:ascii="Times New Roman" w:hAnsi="Times New Roman"/>
          <w:sz w:val="23"/>
        </w:rPr>
        <w:sectPr w:rsidR="006044A6">
          <w:headerReference w:type="default" r:id="rId7"/>
          <w:footerReference w:type="default" r:id="rId8"/>
          <w:type w:val="continuous"/>
          <w:pgSz w:w="11910" w:h="16840"/>
          <w:pgMar w:top="600" w:right="880" w:bottom="280" w:left="1020" w:header="720" w:footer="720" w:gutter="0"/>
          <w:cols w:space="720"/>
        </w:sectPr>
      </w:pPr>
    </w:p>
    <w:p w:rsidR="006044A6" w:rsidRDefault="006553D9">
      <w:pPr>
        <w:pStyle w:val="Textoindependiente"/>
        <w:ind w:left="175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>
            <wp:extent cx="4068966" cy="43136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966" cy="431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4A6" w:rsidRDefault="006044A6">
      <w:pPr>
        <w:pStyle w:val="Textoindependiente"/>
        <w:spacing w:before="1"/>
        <w:rPr>
          <w:rFonts w:ascii="Times New Roman"/>
          <w:sz w:val="19"/>
        </w:rPr>
      </w:pPr>
    </w:p>
    <w:p w:rsidR="006044A6" w:rsidRDefault="006553D9">
      <w:pPr>
        <w:spacing w:before="91"/>
        <w:ind w:left="264"/>
        <w:jc w:val="both"/>
        <w:rPr>
          <w:rFonts w:ascii="Times New Roman"/>
          <w:b/>
          <w:sz w:val="23"/>
        </w:rPr>
      </w:pPr>
      <w:r>
        <w:rPr>
          <w:rFonts w:ascii="Times New Roman"/>
          <w:b/>
          <w:color w:val="494949"/>
          <w:sz w:val="23"/>
        </w:rPr>
        <w:t>Consideraciones Generales</w:t>
      </w:r>
    </w:p>
    <w:p w:rsidR="006044A6" w:rsidRDefault="006044A6">
      <w:pPr>
        <w:pStyle w:val="Textoindependiente"/>
        <w:spacing w:before="7"/>
        <w:rPr>
          <w:rFonts w:ascii="Times New Roman"/>
          <w:b/>
          <w:sz w:val="20"/>
        </w:rPr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395"/>
        </w:tabs>
        <w:ind w:firstLine="0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ventas</w:t>
      </w:r>
      <w:r>
        <w:rPr>
          <w:spacing w:val="-3"/>
          <w:sz w:val="18"/>
        </w:rPr>
        <w:t xml:space="preserve"> </w:t>
      </w:r>
      <w:r>
        <w:rPr>
          <w:sz w:val="18"/>
        </w:rPr>
        <w:t>minoristas</w:t>
      </w:r>
      <w:r>
        <w:rPr>
          <w:spacing w:val="-3"/>
          <w:sz w:val="18"/>
        </w:rPr>
        <w:t xml:space="preserve"> </w:t>
      </w:r>
      <w:r>
        <w:rPr>
          <w:sz w:val="18"/>
        </w:rPr>
        <w:t>cayeron</w:t>
      </w:r>
      <w:r>
        <w:rPr>
          <w:spacing w:val="-4"/>
          <w:sz w:val="18"/>
        </w:rPr>
        <w:t xml:space="preserve"> </w:t>
      </w:r>
      <w:r>
        <w:rPr>
          <w:sz w:val="18"/>
        </w:rPr>
        <w:t>2%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marzo</w:t>
      </w:r>
      <w:r>
        <w:rPr>
          <w:spacing w:val="-4"/>
          <w:sz w:val="18"/>
        </w:rPr>
        <w:t xml:space="preserve"> </w:t>
      </w:r>
      <w:r>
        <w:rPr>
          <w:sz w:val="18"/>
        </w:rPr>
        <w:t>2018</w:t>
      </w:r>
      <w:r>
        <w:rPr>
          <w:spacing w:val="-4"/>
          <w:sz w:val="18"/>
        </w:rPr>
        <w:t xml:space="preserve"> </w:t>
      </w:r>
      <w:r>
        <w:rPr>
          <w:sz w:val="18"/>
        </w:rPr>
        <w:t>frente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igual</w:t>
      </w:r>
      <w:r>
        <w:rPr>
          <w:spacing w:val="-4"/>
          <w:sz w:val="18"/>
        </w:rPr>
        <w:t xml:space="preserve"> </w:t>
      </w:r>
      <w:r>
        <w:rPr>
          <w:sz w:val="18"/>
        </w:rPr>
        <w:t>fecha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2017.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 xml:space="preserve">performance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comercio</w:t>
      </w:r>
      <w:r>
        <w:rPr>
          <w:spacing w:val="-3"/>
          <w:sz w:val="18"/>
        </w:rPr>
        <w:t xml:space="preserve"> </w:t>
      </w:r>
      <w:r>
        <w:rPr>
          <w:sz w:val="18"/>
        </w:rPr>
        <w:t>Pyme</w:t>
      </w:r>
      <w:r>
        <w:rPr>
          <w:spacing w:val="-4"/>
          <w:sz w:val="18"/>
        </w:rPr>
        <w:t xml:space="preserve"> </w:t>
      </w:r>
      <w:r>
        <w:rPr>
          <w:sz w:val="18"/>
        </w:rPr>
        <w:t>fue muy floja teniendo en cuenta que se está comparando contra un mes en baja como fue marzo 2017, cuando las operaciones tuvieron un desplome del 4,4%</w:t>
      </w:r>
      <w:r>
        <w:rPr>
          <w:spacing w:val="-11"/>
          <w:sz w:val="18"/>
        </w:rPr>
        <w:t xml:space="preserve"> </w:t>
      </w:r>
      <w:r>
        <w:rPr>
          <w:sz w:val="18"/>
        </w:rPr>
        <w:t>anual.</w:t>
      </w:r>
    </w:p>
    <w:p w:rsidR="006044A6" w:rsidRDefault="006044A6">
      <w:pPr>
        <w:pStyle w:val="Textoindependiente"/>
        <w:spacing w:before="4"/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428"/>
        </w:tabs>
        <w:ind w:right="111" w:firstLine="0"/>
        <w:rPr>
          <w:sz w:val="18"/>
        </w:rPr>
      </w:pPr>
      <w:r>
        <w:rPr>
          <w:sz w:val="18"/>
        </w:rPr>
        <w:t>De 19 rubros relevados, 18 descendieron en la comparación anual, y uno se mantuvo sin cambios (‘Alimentos y bebidas’).</w:t>
      </w:r>
    </w:p>
    <w:p w:rsidR="006044A6" w:rsidRDefault="006044A6">
      <w:pPr>
        <w:pStyle w:val="Textoindependiente"/>
        <w:spacing w:before="10"/>
        <w:rPr>
          <w:sz w:val="17"/>
        </w:rPr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397"/>
        </w:tabs>
        <w:spacing w:before="1"/>
        <w:ind w:firstLine="0"/>
        <w:rPr>
          <w:sz w:val="18"/>
        </w:rPr>
      </w:pPr>
      <w:r>
        <w:rPr>
          <w:sz w:val="18"/>
        </w:rPr>
        <w:t xml:space="preserve">Un rubro donde el derrumbe fue casi generalizado fue ‘Joyería y relojería’, no sólo porque los despachos bajaron 4,4% contra marzo del año pasado, sino porque sólo 9,1% de los negocios declararon subas anuales en sus operaciones </w:t>
      </w:r>
      <w:r>
        <w:rPr>
          <w:spacing w:val="4"/>
          <w:sz w:val="18"/>
        </w:rPr>
        <w:t xml:space="preserve">del </w:t>
      </w:r>
      <w:r>
        <w:rPr>
          <w:sz w:val="18"/>
        </w:rPr>
        <w:t>mes.</w:t>
      </w:r>
      <w:r>
        <w:rPr>
          <w:spacing w:val="-11"/>
          <w:sz w:val="18"/>
        </w:rPr>
        <w:t xml:space="preserve"> </w:t>
      </w:r>
      <w:r>
        <w:rPr>
          <w:sz w:val="18"/>
        </w:rPr>
        <w:t>Perjudicó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este</w:t>
      </w:r>
      <w:r>
        <w:rPr>
          <w:spacing w:val="-10"/>
          <w:sz w:val="18"/>
        </w:rPr>
        <w:t xml:space="preserve"> </w:t>
      </w:r>
      <w:r>
        <w:rPr>
          <w:sz w:val="18"/>
        </w:rPr>
        <w:t>sector</w:t>
      </w:r>
      <w:r>
        <w:rPr>
          <w:spacing w:val="-12"/>
          <w:sz w:val="18"/>
        </w:rPr>
        <w:t xml:space="preserve"> </w:t>
      </w:r>
      <w:r>
        <w:rPr>
          <w:sz w:val="18"/>
        </w:rPr>
        <w:t>el</w:t>
      </w:r>
      <w:r>
        <w:rPr>
          <w:spacing w:val="-12"/>
          <w:sz w:val="18"/>
        </w:rPr>
        <w:t xml:space="preserve"> </w:t>
      </w:r>
      <w:r>
        <w:rPr>
          <w:sz w:val="18"/>
        </w:rPr>
        <w:t>comercio</w:t>
      </w:r>
      <w:r>
        <w:rPr>
          <w:spacing w:val="-14"/>
          <w:sz w:val="18"/>
        </w:rPr>
        <w:t xml:space="preserve"> </w:t>
      </w:r>
      <w:r>
        <w:rPr>
          <w:sz w:val="18"/>
        </w:rPr>
        <w:t>informal,</w:t>
      </w:r>
      <w:r>
        <w:rPr>
          <w:spacing w:val="-10"/>
          <w:sz w:val="18"/>
        </w:rPr>
        <w:t xml:space="preserve"> </w:t>
      </w:r>
      <w:r>
        <w:rPr>
          <w:sz w:val="18"/>
        </w:rPr>
        <w:t>y</w:t>
      </w:r>
      <w:r>
        <w:rPr>
          <w:spacing w:val="-13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z w:val="18"/>
        </w:rPr>
        <w:t>un</w:t>
      </w:r>
      <w:r>
        <w:rPr>
          <w:spacing w:val="-10"/>
          <w:sz w:val="18"/>
        </w:rPr>
        <w:t xml:space="preserve"> </w:t>
      </w:r>
      <w:r>
        <w:rPr>
          <w:sz w:val="18"/>
        </w:rPr>
        <w:t>contexto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pérdida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poder</w:t>
      </w:r>
      <w:r>
        <w:rPr>
          <w:spacing w:val="-13"/>
          <w:sz w:val="18"/>
        </w:rPr>
        <w:t xml:space="preserve"> </w:t>
      </w:r>
      <w:r>
        <w:rPr>
          <w:sz w:val="18"/>
        </w:rPr>
        <w:t>adquisitivo</w:t>
      </w:r>
      <w:r>
        <w:rPr>
          <w:spacing w:val="-11"/>
          <w:sz w:val="18"/>
        </w:rPr>
        <w:t xml:space="preserve"> </w:t>
      </w:r>
      <w:r>
        <w:rPr>
          <w:sz w:val="18"/>
        </w:rPr>
        <w:t>suele</w:t>
      </w:r>
      <w:r>
        <w:rPr>
          <w:spacing w:val="-10"/>
          <w:sz w:val="18"/>
        </w:rPr>
        <w:t xml:space="preserve"> </w:t>
      </w:r>
      <w:r>
        <w:rPr>
          <w:sz w:val="18"/>
        </w:rPr>
        <w:t>ser</w:t>
      </w:r>
      <w:r>
        <w:rPr>
          <w:spacing w:val="-12"/>
          <w:sz w:val="18"/>
        </w:rPr>
        <w:t xml:space="preserve"> </w:t>
      </w:r>
      <w:r>
        <w:rPr>
          <w:sz w:val="18"/>
        </w:rPr>
        <w:t>relegado por las familias para acceder a otros consumos más</w:t>
      </w:r>
      <w:r>
        <w:rPr>
          <w:spacing w:val="-4"/>
          <w:sz w:val="18"/>
        </w:rPr>
        <w:t xml:space="preserve"> </w:t>
      </w:r>
      <w:r>
        <w:rPr>
          <w:sz w:val="18"/>
        </w:rPr>
        <w:t>urgentes</w:t>
      </w:r>
    </w:p>
    <w:p w:rsidR="006044A6" w:rsidRDefault="006044A6">
      <w:pPr>
        <w:pStyle w:val="Textoindependiente"/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397"/>
        </w:tabs>
        <w:ind w:right="113" w:firstLine="0"/>
        <w:rPr>
          <w:sz w:val="18"/>
        </w:rPr>
      </w:pPr>
      <w:r>
        <w:rPr>
          <w:sz w:val="18"/>
        </w:rPr>
        <w:t>También se vio sorprendido por un desplome importante el ramo ‘Textil blanco’ donde las ventas bajaron 4,5% frente a marzo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2017</w:t>
      </w:r>
      <w:r>
        <w:rPr>
          <w:spacing w:val="-4"/>
          <w:sz w:val="18"/>
        </w:rPr>
        <w:t xml:space="preserve"> </w:t>
      </w:r>
      <w:r>
        <w:rPr>
          <w:sz w:val="18"/>
        </w:rPr>
        <w:t>(medidas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precios</w:t>
      </w:r>
      <w:r>
        <w:rPr>
          <w:spacing w:val="-2"/>
          <w:sz w:val="18"/>
        </w:rPr>
        <w:t xml:space="preserve"> </w:t>
      </w:r>
      <w:r>
        <w:rPr>
          <w:sz w:val="18"/>
        </w:rPr>
        <w:t>constantes)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acumulan</w:t>
      </w:r>
      <w:r>
        <w:rPr>
          <w:spacing w:val="-5"/>
          <w:sz w:val="18"/>
        </w:rPr>
        <w:t xml:space="preserve"> </w:t>
      </w:r>
      <w:r>
        <w:rPr>
          <w:sz w:val="18"/>
        </w:rPr>
        <w:t>así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retroceso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3,4%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año.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este</w:t>
      </w:r>
      <w:r>
        <w:rPr>
          <w:spacing w:val="-3"/>
          <w:sz w:val="18"/>
        </w:rPr>
        <w:t xml:space="preserve"> </w:t>
      </w:r>
      <w:r>
        <w:rPr>
          <w:sz w:val="18"/>
        </w:rPr>
        <w:t>rubro el 31% de los locales se movió con subas anuales. Fue uno de los sectores donde se observaron liquidaciones y descuentos para activar operaciones. No ayudó la suba del dólar, porque el mercado de blanquearía se está agilizando con mucho producto importado últimamente y los precios se vieron</w:t>
      </w:r>
      <w:r>
        <w:rPr>
          <w:spacing w:val="-12"/>
          <w:sz w:val="18"/>
        </w:rPr>
        <w:t xml:space="preserve"> </w:t>
      </w:r>
      <w:r>
        <w:rPr>
          <w:sz w:val="18"/>
        </w:rPr>
        <w:t>afectados.</w:t>
      </w:r>
    </w:p>
    <w:p w:rsidR="006044A6" w:rsidRDefault="006044A6">
      <w:pPr>
        <w:pStyle w:val="Textoindependiente"/>
        <w:spacing w:before="11"/>
        <w:rPr>
          <w:sz w:val="17"/>
        </w:rPr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392"/>
        </w:tabs>
        <w:ind w:right="117" w:firstLine="0"/>
        <w:rPr>
          <w:sz w:val="18"/>
        </w:rPr>
      </w:pP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‘Electrodomésticos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8"/>
          <w:sz w:val="18"/>
        </w:rPr>
        <w:t xml:space="preserve"> </w:t>
      </w:r>
      <w:r>
        <w:rPr>
          <w:sz w:val="18"/>
        </w:rPr>
        <w:t>artículos</w:t>
      </w:r>
      <w:r>
        <w:rPr>
          <w:spacing w:val="-6"/>
          <w:sz w:val="18"/>
        </w:rPr>
        <w:t xml:space="preserve"> </w:t>
      </w:r>
      <w:r>
        <w:rPr>
          <w:sz w:val="18"/>
        </w:rPr>
        <w:t>electrónicos’,</w:t>
      </w:r>
      <w:r>
        <w:rPr>
          <w:spacing w:val="-9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ventas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precios</w:t>
      </w:r>
      <w:r>
        <w:rPr>
          <w:spacing w:val="-7"/>
          <w:sz w:val="18"/>
        </w:rPr>
        <w:t xml:space="preserve"> </w:t>
      </w:r>
      <w:r>
        <w:rPr>
          <w:sz w:val="18"/>
        </w:rPr>
        <w:t>constantes</w:t>
      </w:r>
      <w:r>
        <w:rPr>
          <w:spacing w:val="-8"/>
          <w:sz w:val="18"/>
        </w:rPr>
        <w:t xml:space="preserve"> </w:t>
      </w:r>
      <w:r>
        <w:rPr>
          <w:sz w:val="18"/>
        </w:rPr>
        <w:t>bajaron</w:t>
      </w:r>
      <w:r>
        <w:rPr>
          <w:spacing w:val="-9"/>
          <w:sz w:val="18"/>
        </w:rPr>
        <w:t xml:space="preserve"> </w:t>
      </w:r>
      <w:r>
        <w:rPr>
          <w:sz w:val="18"/>
        </w:rPr>
        <w:t>3%</w:t>
      </w:r>
      <w:r>
        <w:rPr>
          <w:spacing w:val="-6"/>
          <w:sz w:val="18"/>
        </w:rPr>
        <w:t xml:space="preserve"> </w:t>
      </w:r>
      <w:r>
        <w:rPr>
          <w:sz w:val="18"/>
        </w:rPr>
        <w:t>frente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mismo</w:t>
      </w:r>
      <w:r>
        <w:rPr>
          <w:spacing w:val="-9"/>
          <w:sz w:val="18"/>
        </w:rPr>
        <w:t xml:space="preserve"> </w:t>
      </w:r>
      <w:r>
        <w:rPr>
          <w:sz w:val="18"/>
        </w:rPr>
        <w:t>mes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año pasado, revirtiendo la suba de febrero. En lo que va de la temporada este ramo acumula un declive de 0,7% anual. No </w:t>
      </w:r>
      <w:r>
        <w:rPr>
          <w:sz w:val="18"/>
        </w:rPr>
        <w:lastRenderedPageBreak/>
        <w:t>ayudó en marzo la baja disponibilidad de crédito en las tarjetas, donde muchas se vieron saturadas, ni la incertidumbre cambiaria,</w:t>
      </w:r>
      <w:r>
        <w:rPr>
          <w:spacing w:val="-4"/>
          <w:sz w:val="18"/>
        </w:rPr>
        <w:t xml:space="preserve"> </w:t>
      </w:r>
      <w:r>
        <w:rPr>
          <w:sz w:val="18"/>
        </w:rPr>
        <w:t>ya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es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rubro</w:t>
      </w:r>
      <w:r>
        <w:rPr>
          <w:spacing w:val="-6"/>
          <w:sz w:val="18"/>
        </w:rPr>
        <w:t xml:space="preserve"> </w:t>
      </w:r>
      <w:r>
        <w:rPr>
          <w:sz w:val="18"/>
        </w:rPr>
        <w:t>muy</w:t>
      </w:r>
      <w:r>
        <w:rPr>
          <w:spacing w:val="-6"/>
          <w:sz w:val="18"/>
        </w:rPr>
        <w:t xml:space="preserve"> </w:t>
      </w:r>
      <w:r>
        <w:rPr>
          <w:sz w:val="18"/>
        </w:rPr>
        <w:t>sensible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esas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variables.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espera</w:t>
      </w:r>
      <w:r>
        <w:rPr>
          <w:spacing w:val="-3"/>
          <w:sz w:val="18"/>
        </w:rPr>
        <w:t xml:space="preserve"> </w:t>
      </w:r>
      <w:r>
        <w:rPr>
          <w:sz w:val="18"/>
        </w:rPr>
        <w:t>igualmente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repunte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fuerza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estos tres meses que vienen ya que el mundial estimula mucho la salida de televisores, que generan efecto rebote en otros productos.</w:t>
      </w:r>
    </w:p>
    <w:p w:rsidR="006044A6" w:rsidRDefault="006044A6">
      <w:pPr>
        <w:pStyle w:val="Textoindependiente"/>
      </w:pPr>
    </w:p>
    <w:p w:rsidR="00751049" w:rsidRDefault="006553D9" w:rsidP="00751049">
      <w:pPr>
        <w:pStyle w:val="Prrafodelista"/>
        <w:numPr>
          <w:ilvl w:val="0"/>
          <w:numId w:val="1"/>
        </w:numPr>
        <w:tabs>
          <w:tab w:val="left" w:pos="402"/>
        </w:tabs>
        <w:ind w:right="114" w:firstLine="0"/>
        <w:rPr>
          <w:sz w:val="18"/>
        </w:rPr>
      </w:pPr>
      <w:r>
        <w:rPr>
          <w:sz w:val="18"/>
        </w:rPr>
        <w:t>En ‘Indumentaria’, las operaciones (siempre a precios constantes) siguen golpeadas. Volvieron a caer 2,8% interanual en marzo y suman una retracción de 2,3% en 2018. Es fuerte el desmoronamiento porque se compara contra un mes de muy baja venta como fue el marzo anterior. Los negocios que no lanzaron liquidaciones o promociones, se movieron poco,</w:t>
      </w:r>
      <w:r>
        <w:rPr>
          <w:spacing w:val="-7"/>
          <w:sz w:val="18"/>
        </w:rPr>
        <w:t xml:space="preserve"> </w:t>
      </w:r>
      <w:r>
        <w:rPr>
          <w:sz w:val="18"/>
        </w:rPr>
        <w:t>excepto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sean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nicho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apunten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poder</w:t>
      </w:r>
      <w:r>
        <w:rPr>
          <w:spacing w:val="-9"/>
          <w:sz w:val="18"/>
        </w:rPr>
        <w:t xml:space="preserve"> </w:t>
      </w:r>
      <w:r>
        <w:rPr>
          <w:sz w:val="18"/>
        </w:rPr>
        <w:t>adquisitivo</w:t>
      </w:r>
      <w:r>
        <w:rPr>
          <w:spacing w:val="-8"/>
          <w:sz w:val="18"/>
        </w:rPr>
        <w:t xml:space="preserve"> </w:t>
      </w:r>
      <w:r>
        <w:rPr>
          <w:sz w:val="18"/>
        </w:rPr>
        <w:t>muy</w:t>
      </w:r>
      <w:r>
        <w:rPr>
          <w:spacing w:val="-7"/>
          <w:sz w:val="18"/>
        </w:rPr>
        <w:t xml:space="preserve"> </w:t>
      </w:r>
      <w:r>
        <w:rPr>
          <w:sz w:val="18"/>
        </w:rPr>
        <w:t>alto.</w:t>
      </w:r>
      <w:r>
        <w:rPr>
          <w:spacing w:val="-7"/>
          <w:sz w:val="18"/>
        </w:rPr>
        <w:t xml:space="preserve"> </w:t>
      </w:r>
      <w:r>
        <w:rPr>
          <w:sz w:val="18"/>
        </w:rPr>
        <w:t>Perjudicó</w:t>
      </w:r>
      <w:r>
        <w:rPr>
          <w:spacing w:val="-8"/>
          <w:sz w:val="18"/>
        </w:rPr>
        <w:t xml:space="preserve"> </w:t>
      </w:r>
      <w:r>
        <w:rPr>
          <w:sz w:val="18"/>
        </w:rPr>
        <w:t>además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8"/>
          <w:sz w:val="18"/>
        </w:rPr>
        <w:t xml:space="preserve"> </w:t>
      </w:r>
      <w:r>
        <w:rPr>
          <w:sz w:val="18"/>
        </w:rPr>
        <w:t>comercio</w:t>
      </w:r>
      <w:r>
        <w:rPr>
          <w:spacing w:val="-6"/>
          <w:sz w:val="18"/>
        </w:rPr>
        <w:t xml:space="preserve"> </w:t>
      </w:r>
      <w:r>
        <w:rPr>
          <w:sz w:val="18"/>
        </w:rPr>
        <w:t>ilegal,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fue intenso en este periodo. Aun así, hay buenas expectativas para los meses siguientes. Los empresarios intuyen que no puede seguir en declinando el consumo y debería comenzar a repuntar. En marzo, solo el 34,9% de las locales pymes de</w:t>
      </w:r>
      <w:r>
        <w:rPr>
          <w:spacing w:val="8"/>
          <w:sz w:val="18"/>
        </w:rPr>
        <w:t xml:space="preserve"> </w:t>
      </w:r>
      <w:r>
        <w:rPr>
          <w:sz w:val="18"/>
        </w:rPr>
        <w:t>indumentaria</w:t>
      </w:r>
      <w:r>
        <w:rPr>
          <w:spacing w:val="6"/>
          <w:sz w:val="18"/>
        </w:rPr>
        <w:t xml:space="preserve"> </w:t>
      </w:r>
      <w:r>
        <w:rPr>
          <w:sz w:val="18"/>
        </w:rPr>
        <w:t>declararon</w:t>
      </w:r>
      <w:r>
        <w:rPr>
          <w:spacing w:val="5"/>
          <w:sz w:val="18"/>
        </w:rPr>
        <w:t xml:space="preserve"> </w:t>
      </w:r>
      <w:r>
        <w:rPr>
          <w:sz w:val="18"/>
        </w:rPr>
        <w:t>aumentos</w:t>
      </w:r>
      <w:r>
        <w:rPr>
          <w:spacing w:val="6"/>
          <w:sz w:val="18"/>
        </w:rPr>
        <w:t xml:space="preserve"> </w:t>
      </w:r>
      <w:r>
        <w:rPr>
          <w:sz w:val="18"/>
        </w:rPr>
        <w:t>anuales,</w:t>
      </w:r>
      <w:r>
        <w:rPr>
          <w:spacing w:val="8"/>
          <w:sz w:val="18"/>
        </w:rPr>
        <w:t xml:space="preserve"> </w:t>
      </w:r>
      <w:r>
        <w:rPr>
          <w:sz w:val="18"/>
        </w:rPr>
        <w:t>y</w:t>
      </w:r>
      <w:r>
        <w:rPr>
          <w:spacing w:val="6"/>
          <w:sz w:val="18"/>
        </w:rPr>
        <w:t xml:space="preserve"> </w:t>
      </w:r>
      <w:r>
        <w:rPr>
          <w:sz w:val="18"/>
        </w:rPr>
        <w:t>en</w:t>
      </w:r>
      <w:r>
        <w:rPr>
          <w:spacing w:val="8"/>
          <w:sz w:val="18"/>
        </w:rPr>
        <w:t xml:space="preserve"> </w:t>
      </w:r>
      <w:r>
        <w:rPr>
          <w:sz w:val="18"/>
        </w:rPr>
        <w:t>cambio,</w:t>
      </w:r>
      <w:r>
        <w:rPr>
          <w:spacing w:val="8"/>
          <w:sz w:val="18"/>
        </w:rPr>
        <w:t xml:space="preserve"> </w:t>
      </w:r>
      <w:r>
        <w:rPr>
          <w:sz w:val="18"/>
        </w:rPr>
        <w:t>casi</w:t>
      </w:r>
      <w:r>
        <w:rPr>
          <w:spacing w:val="6"/>
          <w:sz w:val="18"/>
        </w:rPr>
        <w:t xml:space="preserve"> </w:t>
      </w:r>
      <w:r>
        <w:rPr>
          <w:sz w:val="18"/>
        </w:rPr>
        <w:t>el</w:t>
      </w:r>
      <w:r>
        <w:rPr>
          <w:spacing w:val="6"/>
          <w:sz w:val="18"/>
        </w:rPr>
        <w:t xml:space="preserve"> </w:t>
      </w:r>
      <w:r>
        <w:rPr>
          <w:sz w:val="18"/>
        </w:rPr>
        <w:t>50%</w:t>
      </w:r>
      <w:r>
        <w:rPr>
          <w:spacing w:val="6"/>
          <w:sz w:val="18"/>
        </w:rPr>
        <w:t xml:space="preserve"> </w:t>
      </w:r>
      <w:r>
        <w:rPr>
          <w:sz w:val="18"/>
        </w:rPr>
        <w:t>descendió.</w:t>
      </w:r>
      <w:r>
        <w:rPr>
          <w:spacing w:val="8"/>
          <w:sz w:val="18"/>
        </w:rPr>
        <w:t xml:space="preserve"> </w:t>
      </w:r>
      <w:r>
        <w:rPr>
          <w:sz w:val="18"/>
        </w:rPr>
        <w:t>El</w:t>
      </w:r>
      <w:r>
        <w:rPr>
          <w:spacing w:val="8"/>
          <w:sz w:val="18"/>
        </w:rPr>
        <w:t xml:space="preserve"> </w:t>
      </w:r>
      <w:r>
        <w:rPr>
          <w:sz w:val="18"/>
        </w:rPr>
        <w:t>resto</w:t>
      </w:r>
      <w:r>
        <w:rPr>
          <w:spacing w:val="6"/>
          <w:sz w:val="18"/>
        </w:rPr>
        <w:t xml:space="preserve"> </w:t>
      </w:r>
      <w:r>
        <w:rPr>
          <w:sz w:val="18"/>
        </w:rPr>
        <w:t>se</w:t>
      </w:r>
      <w:r>
        <w:rPr>
          <w:spacing w:val="6"/>
          <w:sz w:val="18"/>
        </w:rPr>
        <w:t xml:space="preserve"> </w:t>
      </w:r>
      <w:r>
        <w:rPr>
          <w:sz w:val="18"/>
        </w:rPr>
        <w:t>mantuvo</w:t>
      </w:r>
      <w:r>
        <w:rPr>
          <w:spacing w:val="5"/>
          <w:sz w:val="18"/>
        </w:rPr>
        <w:t xml:space="preserve"> </w:t>
      </w:r>
      <w:r>
        <w:rPr>
          <w:sz w:val="18"/>
        </w:rPr>
        <w:t>sin</w:t>
      </w:r>
      <w:r>
        <w:rPr>
          <w:spacing w:val="7"/>
          <w:sz w:val="18"/>
        </w:rPr>
        <w:t xml:space="preserve"> </w:t>
      </w:r>
      <w:r>
        <w:rPr>
          <w:sz w:val="18"/>
        </w:rPr>
        <w:t>cambios.</w:t>
      </w:r>
    </w:p>
    <w:p w:rsidR="00751049" w:rsidRDefault="00751049" w:rsidP="00751049">
      <w:pPr>
        <w:pStyle w:val="Prrafodelista"/>
      </w:pPr>
    </w:p>
    <w:p w:rsidR="00BB0F31" w:rsidRPr="00751049" w:rsidRDefault="006553D9" w:rsidP="00751049">
      <w:pPr>
        <w:pStyle w:val="Prrafodelista"/>
        <w:numPr>
          <w:ilvl w:val="0"/>
          <w:numId w:val="1"/>
        </w:numPr>
        <w:tabs>
          <w:tab w:val="left" w:pos="402"/>
        </w:tabs>
        <w:ind w:right="114" w:firstLine="0"/>
        <w:rPr>
          <w:sz w:val="18"/>
        </w:rPr>
      </w:pPr>
      <w:r w:rsidRPr="00751049">
        <w:rPr>
          <w:sz w:val="18"/>
        </w:rPr>
        <w:t>Otros dos sectores complicados fueron ‘Bazares y regalarías’ y ‘</w:t>
      </w:r>
      <w:proofErr w:type="spellStart"/>
      <w:r w:rsidRPr="00751049">
        <w:rPr>
          <w:sz w:val="18"/>
        </w:rPr>
        <w:t>bijouterie</w:t>
      </w:r>
      <w:proofErr w:type="spellEnd"/>
      <w:r w:rsidRPr="00751049">
        <w:rPr>
          <w:sz w:val="18"/>
        </w:rPr>
        <w:t>’, donde las operaciones disminuyeron 2,1% y</w:t>
      </w:r>
      <w:r w:rsidR="00BB0F31" w:rsidRPr="00751049">
        <w:rPr>
          <w:sz w:val="18"/>
        </w:rPr>
        <w:t xml:space="preserve"> </w:t>
      </w:r>
      <w:r w:rsidR="00751049" w:rsidRPr="00751049">
        <w:rPr>
          <w:sz w:val="18"/>
        </w:rPr>
        <w:t xml:space="preserve">      </w:t>
      </w:r>
      <w:r w:rsidR="00BB0F31" w:rsidRPr="00751049">
        <w:rPr>
          <w:sz w:val="18"/>
        </w:rPr>
        <w:t>1% anual en marzo respectivamente, pero apenas el 23% de los locales creció en esos rubros. Una proporción muy baja. El resto, retrocedió o se mantuvo sin cambios, a pesar que se contrasta contra un mes de bajo consumo (marzo 2017).</w:t>
      </w:r>
    </w:p>
    <w:p w:rsidR="00BB0F31" w:rsidRPr="00751049" w:rsidRDefault="00BB0F31" w:rsidP="00BB0F31">
      <w:pPr>
        <w:pStyle w:val="Textoindependiente"/>
        <w:rPr>
          <w:szCs w:val="22"/>
        </w:rPr>
      </w:pPr>
    </w:p>
    <w:p w:rsidR="00BB0F31" w:rsidRPr="00751049" w:rsidRDefault="00BB0F31" w:rsidP="00BB0F31">
      <w:pPr>
        <w:pStyle w:val="Textoindependiente"/>
        <w:rPr>
          <w:szCs w:val="22"/>
        </w:rPr>
      </w:pPr>
    </w:p>
    <w:p w:rsidR="006044A6" w:rsidRPr="00BB0F31" w:rsidRDefault="006044A6" w:rsidP="00BB0F31">
      <w:pPr>
        <w:pStyle w:val="Prrafodelista"/>
        <w:numPr>
          <w:ilvl w:val="0"/>
          <w:numId w:val="1"/>
        </w:numPr>
        <w:tabs>
          <w:tab w:val="left" w:pos="395"/>
        </w:tabs>
        <w:ind w:right="0" w:firstLine="0"/>
        <w:rPr>
          <w:sz w:val="18"/>
        </w:rPr>
        <w:sectPr w:rsidR="006044A6" w:rsidRPr="00BB0F31">
          <w:pgSz w:w="11910" w:h="16840"/>
          <w:pgMar w:top="960" w:right="880" w:bottom="280" w:left="1020" w:header="720" w:footer="720" w:gutter="0"/>
          <w:cols w:space="720"/>
        </w:sectPr>
      </w:pPr>
    </w:p>
    <w:p w:rsidR="006044A6" w:rsidRDefault="006044A6">
      <w:pPr>
        <w:pStyle w:val="Textoindependiente"/>
        <w:rPr>
          <w:sz w:val="20"/>
        </w:rPr>
      </w:pPr>
    </w:p>
    <w:p w:rsidR="006044A6" w:rsidRDefault="006553D9">
      <w:pPr>
        <w:pStyle w:val="Ttulo1"/>
        <w:spacing w:before="134"/>
        <w:ind w:left="1322"/>
        <w:jc w:val="left"/>
      </w:pPr>
      <w:r>
        <w:rPr>
          <w:color w:val="494949"/>
        </w:rPr>
        <w:t>Variación anual de las ventas minoristas en locales físicos (a precios constantes)</w:t>
      </w:r>
    </w:p>
    <w:p w:rsidR="006044A6" w:rsidRDefault="006553D9">
      <w:pPr>
        <w:pStyle w:val="Textoindependiente"/>
        <w:spacing w:before="10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955547</wp:posOffset>
            </wp:positionH>
            <wp:positionV relativeFrom="paragraph">
              <wp:posOffset>155699</wp:posOffset>
            </wp:positionV>
            <wp:extent cx="5829300" cy="2133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4A6" w:rsidRDefault="006044A6">
      <w:pPr>
        <w:pStyle w:val="Textoindependiente"/>
        <w:spacing w:before="1"/>
        <w:rPr>
          <w:rFonts w:ascii="Times New Roman"/>
          <w:sz w:val="22"/>
        </w:rPr>
      </w:pPr>
    </w:p>
    <w:p w:rsidR="006044A6" w:rsidRDefault="006553D9">
      <w:pPr>
        <w:ind w:left="3518" w:right="337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t>Anexo metodológico</w:t>
      </w:r>
    </w:p>
    <w:p w:rsidR="006044A6" w:rsidRDefault="006044A6">
      <w:pPr>
        <w:pStyle w:val="Textoindependiente"/>
        <w:spacing w:before="3"/>
        <w:rPr>
          <w:rFonts w:ascii="Times New Roman"/>
          <w:sz w:val="21"/>
        </w:rPr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395"/>
        </w:tabs>
        <w:ind w:right="118" w:firstLine="0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relevamiento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evaluar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evolución</w:t>
      </w:r>
      <w:r>
        <w:rPr>
          <w:spacing w:val="-5"/>
          <w:sz w:val="18"/>
        </w:rPr>
        <w:t xml:space="preserve"> </w:t>
      </w:r>
      <w:r>
        <w:rPr>
          <w:sz w:val="18"/>
        </w:rPr>
        <w:t>interanual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6"/>
          <w:sz w:val="18"/>
        </w:rPr>
        <w:t xml:space="preserve"> </w:t>
      </w:r>
      <w:r>
        <w:rPr>
          <w:sz w:val="18"/>
        </w:rPr>
        <w:t>ventas</w:t>
      </w:r>
      <w:r>
        <w:rPr>
          <w:spacing w:val="-3"/>
          <w:sz w:val="18"/>
        </w:rPr>
        <w:t xml:space="preserve"> </w:t>
      </w:r>
      <w:r>
        <w:rPr>
          <w:sz w:val="18"/>
        </w:rPr>
        <w:t>minoristas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enero</w:t>
      </w:r>
      <w:r>
        <w:rPr>
          <w:spacing w:val="-1"/>
          <w:sz w:val="18"/>
        </w:rPr>
        <w:t xml:space="preserve"> </w:t>
      </w:r>
      <w:r>
        <w:rPr>
          <w:sz w:val="18"/>
        </w:rPr>
        <w:t>2018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realizó</w:t>
      </w:r>
      <w:r>
        <w:rPr>
          <w:spacing w:val="-6"/>
          <w:sz w:val="18"/>
        </w:rPr>
        <w:t xml:space="preserve"> </w:t>
      </w:r>
      <w:r>
        <w:rPr>
          <w:sz w:val="18"/>
        </w:rPr>
        <w:t>entre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lunes</w:t>
      </w:r>
      <w:r>
        <w:rPr>
          <w:spacing w:val="-7"/>
          <w:sz w:val="18"/>
        </w:rPr>
        <w:t xml:space="preserve"> </w:t>
      </w:r>
      <w:r>
        <w:rPr>
          <w:sz w:val="18"/>
        </w:rPr>
        <w:t>26 y el viernes 30 de</w:t>
      </w:r>
      <w:r>
        <w:rPr>
          <w:spacing w:val="-6"/>
          <w:sz w:val="18"/>
        </w:rPr>
        <w:t xml:space="preserve"> </w:t>
      </w:r>
      <w:r>
        <w:rPr>
          <w:sz w:val="18"/>
        </w:rPr>
        <w:t>marzo.</w:t>
      </w:r>
    </w:p>
    <w:p w:rsidR="006044A6" w:rsidRDefault="006044A6">
      <w:pPr>
        <w:pStyle w:val="Textoindependiente"/>
        <w:spacing w:before="1"/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397"/>
        </w:tabs>
        <w:ind w:right="123" w:firstLine="0"/>
        <w:rPr>
          <w:sz w:val="18"/>
        </w:rPr>
      </w:pPr>
      <w:r>
        <w:rPr>
          <w:sz w:val="18"/>
        </w:rPr>
        <w:t>Se cubrió un universo de 2.000 comercios pymes de Ciudad de Buenos Aires, Gran Buenos Aires y el interior del país, en los principales rubros que concentran la venta minorista</w:t>
      </w:r>
      <w:r>
        <w:rPr>
          <w:spacing w:val="-9"/>
          <w:sz w:val="18"/>
        </w:rPr>
        <w:t xml:space="preserve"> </w:t>
      </w:r>
      <w:r>
        <w:rPr>
          <w:sz w:val="18"/>
        </w:rPr>
        <w:t>familiar.</w:t>
      </w:r>
    </w:p>
    <w:p w:rsidR="006044A6" w:rsidRDefault="006044A6">
      <w:pPr>
        <w:pStyle w:val="Textoindependiente"/>
        <w:spacing w:before="11"/>
        <w:rPr>
          <w:sz w:val="17"/>
        </w:rPr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414"/>
        </w:tabs>
        <w:ind w:right="121" w:firstLine="0"/>
        <w:rPr>
          <w:sz w:val="18"/>
        </w:rPr>
      </w:pPr>
      <w:r>
        <w:rPr>
          <w:sz w:val="18"/>
        </w:rPr>
        <w:t>El sondeo se efectuó en los negocios chicos y medianos, localizados en calles y avenidas comerciales de ciudades pequeñas,</w:t>
      </w:r>
      <w:r>
        <w:rPr>
          <w:spacing w:val="-12"/>
          <w:sz w:val="18"/>
        </w:rPr>
        <w:t xml:space="preserve"> </w:t>
      </w:r>
      <w:r>
        <w:rPr>
          <w:sz w:val="18"/>
        </w:rPr>
        <w:t>medianas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13"/>
          <w:sz w:val="18"/>
        </w:rPr>
        <w:t xml:space="preserve"> </w:t>
      </w:r>
      <w:r>
        <w:rPr>
          <w:sz w:val="18"/>
        </w:rPr>
        <w:t>grandes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través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un</w:t>
      </w:r>
      <w:r>
        <w:rPr>
          <w:spacing w:val="-9"/>
          <w:sz w:val="18"/>
        </w:rPr>
        <w:t xml:space="preserve"> </w:t>
      </w:r>
      <w:r>
        <w:rPr>
          <w:sz w:val="18"/>
        </w:rPr>
        <w:t>equipo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30</w:t>
      </w:r>
      <w:r>
        <w:rPr>
          <w:spacing w:val="-12"/>
          <w:sz w:val="18"/>
        </w:rPr>
        <w:t xml:space="preserve"> </w:t>
      </w:r>
      <w:r>
        <w:rPr>
          <w:sz w:val="18"/>
        </w:rPr>
        <w:t>encuestadores</w:t>
      </w:r>
      <w:r>
        <w:rPr>
          <w:spacing w:val="-11"/>
          <w:sz w:val="18"/>
        </w:rPr>
        <w:t xml:space="preserve"> </w:t>
      </w:r>
      <w:r>
        <w:rPr>
          <w:sz w:val="18"/>
        </w:rPr>
        <w:t>localizados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z w:val="18"/>
        </w:rPr>
        <w:t>las</w:t>
      </w:r>
      <w:r>
        <w:rPr>
          <w:spacing w:val="-12"/>
          <w:sz w:val="18"/>
        </w:rPr>
        <w:t xml:space="preserve"> </w:t>
      </w:r>
      <w:r>
        <w:rPr>
          <w:sz w:val="18"/>
        </w:rPr>
        <w:t>capitales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cada</w:t>
      </w:r>
      <w:r>
        <w:rPr>
          <w:spacing w:val="-11"/>
          <w:sz w:val="18"/>
        </w:rPr>
        <w:t xml:space="preserve"> </w:t>
      </w:r>
      <w:r>
        <w:rPr>
          <w:sz w:val="18"/>
        </w:rPr>
        <w:t>provincia, en CABA y en Gran Buenos Aires (con encuestadores en zona norte, sur y</w:t>
      </w:r>
      <w:r>
        <w:rPr>
          <w:spacing w:val="-11"/>
          <w:sz w:val="18"/>
        </w:rPr>
        <w:t xml:space="preserve"> </w:t>
      </w:r>
      <w:r>
        <w:rPr>
          <w:sz w:val="18"/>
        </w:rPr>
        <w:t>oeste).</w:t>
      </w:r>
    </w:p>
    <w:p w:rsidR="006044A6" w:rsidRDefault="006044A6">
      <w:pPr>
        <w:pStyle w:val="Textoindependiente"/>
        <w:spacing w:before="1"/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407"/>
        </w:tabs>
        <w:ind w:right="126" w:firstLine="0"/>
        <w:rPr>
          <w:sz w:val="18"/>
        </w:rPr>
      </w:pPr>
      <w:r>
        <w:rPr>
          <w:sz w:val="18"/>
        </w:rPr>
        <w:t>Para calcular la variación anual promedio de las ventas, se utilizó un promedio ponderado. La consideración de cada rubro se estimó de acuerdo al Censo Económico 2004/05 y datos relevados por CAME para conocer la distribución del consumo.</w:t>
      </w:r>
    </w:p>
    <w:p w:rsidR="006044A6" w:rsidRDefault="006044A6">
      <w:pPr>
        <w:pStyle w:val="Textoindependiente"/>
        <w:spacing w:before="10"/>
        <w:rPr>
          <w:sz w:val="17"/>
        </w:rPr>
      </w:pPr>
    </w:p>
    <w:p w:rsidR="006044A6" w:rsidRDefault="006553D9">
      <w:pPr>
        <w:pStyle w:val="Prrafodelista"/>
        <w:numPr>
          <w:ilvl w:val="0"/>
          <w:numId w:val="1"/>
        </w:numPr>
        <w:tabs>
          <w:tab w:val="left" w:pos="395"/>
        </w:tabs>
        <w:ind w:right="122" w:firstLine="0"/>
        <w:rPr>
          <w:sz w:val="18"/>
        </w:rPr>
      </w:pPr>
      <w:r>
        <w:rPr>
          <w:sz w:val="18"/>
        </w:rPr>
        <w:t>Desde</w:t>
      </w:r>
      <w:r>
        <w:rPr>
          <w:spacing w:val="-3"/>
          <w:sz w:val="18"/>
        </w:rPr>
        <w:t xml:space="preserve"> </w:t>
      </w:r>
      <w:r>
        <w:rPr>
          <w:sz w:val="18"/>
        </w:rPr>
        <w:t>septiembre</w:t>
      </w:r>
      <w:r>
        <w:rPr>
          <w:spacing w:val="-4"/>
          <w:sz w:val="18"/>
        </w:rPr>
        <w:t xml:space="preserve"> </w:t>
      </w:r>
      <w:r>
        <w:rPr>
          <w:sz w:val="18"/>
        </w:rPr>
        <w:t>2017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comenzó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medir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precios</w:t>
      </w:r>
      <w:r>
        <w:rPr>
          <w:spacing w:val="-6"/>
          <w:sz w:val="18"/>
        </w:rPr>
        <w:t xml:space="preserve"> </w:t>
      </w:r>
      <w:r>
        <w:rPr>
          <w:sz w:val="18"/>
        </w:rPr>
        <w:t>constantes</w:t>
      </w:r>
      <w:r>
        <w:rPr>
          <w:spacing w:val="-3"/>
          <w:sz w:val="18"/>
        </w:rPr>
        <w:t xml:space="preserve"> </w:t>
      </w:r>
      <w:r>
        <w:rPr>
          <w:sz w:val="18"/>
        </w:rPr>
        <w:t>empalmándola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serie</w:t>
      </w:r>
      <w:r>
        <w:rPr>
          <w:spacing w:val="-5"/>
          <w:sz w:val="18"/>
        </w:rPr>
        <w:t xml:space="preserve"> </w:t>
      </w:r>
      <w:r>
        <w:rPr>
          <w:sz w:val="18"/>
        </w:rPr>
        <w:t>tradicional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cantidades vendidas. La decisión de vinculación se tomó tras analizar durante meses que la información que brindan los comercios sobre despachos en cantidades es un proxy intuitivo de su venta a precios constantes. En la nueva metodología se le continúa preguntando por cantidades, pero se agrega la pregunta de</w:t>
      </w:r>
      <w:r>
        <w:rPr>
          <w:spacing w:val="-15"/>
          <w:sz w:val="18"/>
        </w:rPr>
        <w:t xml:space="preserve"> </w:t>
      </w:r>
      <w:r>
        <w:rPr>
          <w:sz w:val="18"/>
        </w:rPr>
        <w:t>facturación.</w:t>
      </w: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BB0F31" w:rsidRDefault="00BB0F31">
      <w:pPr>
        <w:pStyle w:val="Ttulo1"/>
        <w:spacing w:before="44"/>
        <w:ind w:left="3518" w:right="3373"/>
        <w:jc w:val="center"/>
        <w:rPr>
          <w:color w:val="494949"/>
        </w:rPr>
      </w:pPr>
    </w:p>
    <w:p w:rsidR="006044A6" w:rsidRDefault="006553D9">
      <w:pPr>
        <w:pStyle w:val="Ttulo1"/>
        <w:spacing w:before="44"/>
        <w:ind w:left="3518" w:right="3373"/>
        <w:jc w:val="center"/>
      </w:pPr>
      <w:r>
        <w:rPr>
          <w:color w:val="494949"/>
        </w:rPr>
        <w:t>Ventas minoristas en marzo 2018</w:t>
      </w:r>
    </w:p>
    <w:p w:rsidR="006044A6" w:rsidRDefault="006553D9" w:rsidP="00BB0F31">
      <w:pPr>
        <w:pStyle w:val="Textoindependiente"/>
        <w:spacing w:before="10"/>
        <w:rPr>
          <w:rFonts w:ascii="Times New Roman"/>
          <w:sz w:val="17"/>
        </w:rPr>
        <w:sectPr w:rsidR="006044A6">
          <w:pgSz w:w="11910" w:h="16840"/>
          <w:pgMar w:top="760" w:right="880" w:bottom="280" w:left="102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2185416</wp:posOffset>
            </wp:positionH>
            <wp:positionV relativeFrom="paragraph">
              <wp:posOffset>155337</wp:posOffset>
            </wp:positionV>
            <wp:extent cx="3338799" cy="28117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799" cy="2811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4A6" w:rsidRDefault="00BB0F31" w:rsidP="00BB0F31">
      <w:pPr>
        <w:spacing w:before="63"/>
        <w:jc w:val="center"/>
        <w:rPr>
          <w:rFonts w:ascii="Times New Roman" w:hAnsi="Times New Roman"/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4479" behindDoc="1" locked="0" layoutInCell="1" allowOverlap="1" wp14:anchorId="22085828" wp14:editId="352ABEB0">
            <wp:simplePos x="0" y="0"/>
            <wp:positionH relativeFrom="page">
              <wp:posOffset>1638300</wp:posOffset>
            </wp:positionH>
            <wp:positionV relativeFrom="paragraph">
              <wp:posOffset>334645</wp:posOffset>
            </wp:positionV>
            <wp:extent cx="3753485" cy="6886575"/>
            <wp:effectExtent l="0" t="0" r="0" b="952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3D9">
        <w:rPr>
          <w:rFonts w:ascii="Times New Roman" w:hAnsi="Times New Roman"/>
          <w:color w:val="494949"/>
          <w:sz w:val="23"/>
        </w:rPr>
        <w:t>Serie del Índice de Ventas Minoristas</w:t>
      </w:r>
    </w:p>
    <w:p w:rsidR="006044A6" w:rsidRDefault="006044A6">
      <w:pPr>
        <w:pStyle w:val="Textoindependiente"/>
        <w:spacing w:before="10"/>
        <w:rPr>
          <w:rFonts w:ascii="Times New Roman"/>
          <w:sz w:val="17"/>
        </w:rPr>
      </w:pPr>
    </w:p>
    <w:p w:rsidR="006044A6" w:rsidRDefault="006553D9" w:rsidP="00BB0F31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94949"/>
          <w:sz w:val="23"/>
        </w:rPr>
        <w:lastRenderedPageBreak/>
        <w:t>Ciudad Autónoma de Buenos Aires, 1 de abril de 2018</w:t>
      </w:r>
    </w:p>
    <w:sectPr w:rsidR="006044A6">
      <w:pgSz w:w="11910" w:h="16840"/>
      <w:pgMar w:top="82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CC" w:rsidRDefault="004D0BCC" w:rsidP="0078476E">
      <w:r>
        <w:separator/>
      </w:r>
    </w:p>
  </w:endnote>
  <w:endnote w:type="continuationSeparator" w:id="0">
    <w:p w:rsidR="004D0BCC" w:rsidRDefault="004D0BCC" w:rsidP="0078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6E" w:rsidRDefault="0078476E" w:rsidP="0078476E">
    <w:pPr>
      <w:pStyle w:val="Piedepgina"/>
      <w:pBdr>
        <w:top w:val="single" w:sz="4" w:space="1" w:color="000000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Cámara de Comercio e Industria de la Provincia de Salta</w:t>
    </w:r>
  </w:p>
  <w:p w:rsidR="0078476E" w:rsidRPr="005551C8" w:rsidRDefault="0078476E" w:rsidP="0078476E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España 339 – A4400ANG – Salta, Argentina</w:t>
    </w:r>
    <w:r>
      <w:rPr>
        <w:sz w:val="18"/>
        <w:szCs w:val="18"/>
      </w:rPr>
      <w:br/>
    </w:r>
    <w:r w:rsidRPr="005551C8">
      <w:rPr>
        <w:sz w:val="18"/>
        <w:szCs w:val="18"/>
      </w:rPr>
      <w:t>Tel.: +54 0387 4315358 / 4310189 / 4220679</w:t>
    </w:r>
  </w:p>
  <w:p w:rsidR="0078476E" w:rsidRDefault="00E96657" w:rsidP="0078476E">
    <w:pPr>
      <w:pStyle w:val="Piedepgina"/>
      <w:jc w:val="center"/>
      <w:rPr>
        <w:sz w:val="18"/>
        <w:szCs w:val="18"/>
      </w:rPr>
    </w:pPr>
    <w:hyperlink r:id="rId1" w:history="1">
      <w:r w:rsidRPr="00771DB8">
        <w:rPr>
          <w:rStyle w:val="Hipervnculo"/>
          <w:sz w:val="18"/>
          <w:szCs w:val="18"/>
        </w:rPr>
        <w:t>www.comerciosalta.com</w:t>
      </w:r>
    </w:hyperlink>
  </w:p>
  <w:p w:rsidR="00E96657" w:rsidRDefault="00E96657" w:rsidP="0078476E">
    <w:pPr>
      <w:pStyle w:val="Piedepgina"/>
      <w:jc w:val="center"/>
    </w:pPr>
  </w:p>
  <w:p w:rsidR="0078476E" w:rsidRDefault="007847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CC" w:rsidRDefault="004D0BCC" w:rsidP="0078476E">
      <w:r>
        <w:separator/>
      </w:r>
    </w:p>
  </w:footnote>
  <w:footnote w:type="continuationSeparator" w:id="0">
    <w:p w:rsidR="004D0BCC" w:rsidRDefault="004D0BCC" w:rsidP="0078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6E" w:rsidRDefault="0078476E" w:rsidP="004374E2">
    <w:pPr>
      <w:pStyle w:val="Encabezado"/>
      <w:jc w:val="center"/>
    </w:pPr>
    <w:r>
      <w:rPr>
        <w:noProof/>
        <w:lang w:bidi="ar-SA"/>
      </w:rPr>
      <w:drawing>
        <wp:inline distT="0" distB="0" distL="0" distR="0" wp14:anchorId="23FD48F6" wp14:editId="46E4D40B">
          <wp:extent cx="5589698" cy="1235075"/>
          <wp:effectExtent l="0" t="0" r="0" b="3175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698" cy="123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76E" w:rsidRDefault="007847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4B8"/>
    <w:multiLevelType w:val="hybridMultilevel"/>
    <w:tmpl w:val="F0A44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49FF"/>
    <w:multiLevelType w:val="hybridMultilevel"/>
    <w:tmpl w:val="E4482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4198C"/>
    <w:multiLevelType w:val="hybridMultilevel"/>
    <w:tmpl w:val="67EAD604"/>
    <w:lvl w:ilvl="0" w:tplc="2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5551329"/>
    <w:multiLevelType w:val="hybridMultilevel"/>
    <w:tmpl w:val="9B522602"/>
    <w:lvl w:ilvl="0" w:tplc="98D2401C">
      <w:numFmt w:val="bullet"/>
      <w:lvlText w:val=""/>
      <w:lvlJc w:val="left"/>
      <w:pPr>
        <w:ind w:left="264" w:hanging="130"/>
      </w:pPr>
      <w:rPr>
        <w:rFonts w:ascii="Symbol" w:eastAsia="Symbol" w:hAnsi="Symbol" w:cs="Symbol" w:hint="default"/>
        <w:w w:val="100"/>
        <w:sz w:val="18"/>
        <w:szCs w:val="18"/>
        <w:lang w:val="es-AR" w:eastAsia="es-AR" w:bidi="es-AR"/>
      </w:rPr>
    </w:lvl>
    <w:lvl w:ilvl="1" w:tplc="EF0E7D80">
      <w:numFmt w:val="bullet"/>
      <w:lvlText w:val="•"/>
      <w:lvlJc w:val="left"/>
      <w:pPr>
        <w:ind w:left="1234" w:hanging="130"/>
      </w:pPr>
      <w:rPr>
        <w:rFonts w:hint="default"/>
        <w:lang w:val="es-AR" w:eastAsia="es-AR" w:bidi="es-AR"/>
      </w:rPr>
    </w:lvl>
    <w:lvl w:ilvl="2" w:tplc="2710E6EE">
      <w:numFmt w:val="bullet"/>
      <w:lvlText w:val="•"/>
      <w:lvlJc w:val="left"/>
      <w:pPr>
        <w:ind w:left="2209" w:hanging="130"/>
      </w:pPr>
      <w:rPr>
        <w:rFonts w:hint="default"/>
        <w:lang w:val="es-AR" w:eastAsia="es-AR" w:bidi="es-AR"/>
      </w:rPr>
    </w:lvl>
    <w:lvl w:ilvl="3" w:tplc="D00045FE">
      <w:numFmt w:val="bullet"/>
      <w:lvlText w:val="•"/>
      <w:lvlJc w:val="left"/>
      <w:pPr>
        <w:ind w:left="3183" w:hanging="130"/>
      </w:pPr>
      <w:rPr>
        <w:rFonts w:hint="default"/>
        <w:lang w:val="es-AR" w:eastAsia="es-AR" w:bidi="es-AR"/>
      </w:rPr>
    </w:lvl>
    <w:lvl w:ilvl="4" w:tplc="8722A5CA">
      <w:numFmt w:val="bullet"/>
      <w:lvlText w:val="•"/>
      <w:lvlJc w:val="left"/>
      <w:pPr>
        <w:ind w:left="4158" w:hanging="130"/>
      </w:pPr>
      <w:rPr>
        <w:rFonts w:hint="default"/>
        <w:lang w:val="es-AR" w:eastAsia="es-AR" w:bidi="es-AR"/>
      </w:rPr>
    </w:lvl>
    <w:lvl w:ilvl="5" w:tplc="E06AC984">
      <w:numFmt w:val="bullet"/>
      <w:lvlText w:val="•"/>
      <w:lvlJc w:val="left"/>
      <w:pPr>
        <w:ind w:left="5133" w:hanging="130"/>
      </w:pPr>
      <w:rPr>
        <w:rFonts w:hint="default"/>
        <w:lang w:val="es-AR" w:eastAsia="es-AR" w:bidi="es-AR"/>
      </w:rPr>
    </w:lvl>
    <w:lvl w:ilvl="6" w:tplc="593A7706">
      <w:numFmt w:val="bullet"/>
      <w:lvlText w:val="•"/>
      <w:lvlJc w:val="left"/>
      <w:pPr>
        <w:ind w:left="6107" w:hanging="130"/>
      </w:pPr>
      <w:rPr>
        <w:rFonts w:hint="default"/>
        <w:lang w:val="es-AR" w:eastAsia="es-AR" w:bidi="es-AR"/>
      </w:rPr>
    </w:lvl>
    <w:lvl w:ilvl="7" w:tplc="8248A1A6">
      <w:numFmt w:val="bullet"/>
      <w:lvlText w:val="•"/>
      <w:lvlJc w:val="left"/>
      <w:pPr>
        <w:ind w:left="7082" w:hanging="130"/>
      </w:pPr>
      <w:rPr>
        <w:rFonts w:hint="default"/>
        <w:lang w:val="es-AR" w:eastAsia="es-AR" w:bidi="es-AR"/>
      </w:rPr>
    </w:lvl>
    <w:lvl w:ilvl="8" w:tplc="EC4CAF2C">
      <w:numFmt w:val="bullet"/>
      <w:lvlText w:val="•"/>
      <w:lvlJc w:val="left"/>
      <w:pPr>
        <w:ind w:left="8057" w:hanging="130"/>
      </w:pPr>
      <w:rPr>
        <w:rFonts w:hint="default"/>
        <w:lang w:val="es-AR" w:eastAsia="es-AR" w:bidi="es-A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6"/>
    <w:rsid w:val="004374E2"/>
    <w:rsid w:val="004D0BCC"/>
    <w:rsid w:val="006044A6"/>
    <w:rsid w:val="006553D9"/>
    <w:rsid w:val="00751049"/>
    <w:rsid w:val="0078476E"/>
    <w:rsid w:val="00AD7053"/>
    <w:rsid w:val="00B73F2B"/>
    <w:rsid w:val="00BB0F31"/>
    <w:rsid w:val="00E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E3E86-46BB-4D23-A743-9618694D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AR" w:eastAsia="es-AR" w:bidi="es-AR"/>
    </w:rPr>
  </w:style>
  <w:style w:type="paragraph" w:styleId="Ttulo1">
    <w:name w:val="heading 1"/>
    <w:basedOn w:val="Normal"/>
    <w:uiPriority w:val="1"/>
    <w:qFormat/>
    <w:pPr>
      <w:ind w:left="264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64" w:righ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4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76E"/>
    <w:rPr>
      <w:rFonts w:ascii="Arial" w:eastAsia="Arial" w:hAnsi="Arial" w:cs="Arial"/>
      <w:lang w:val="es-AR" w:eastAsia="es-AR" w:bidi="es-AR"/>
    </w:rPr>
  </w:style>
  <w:style w:type="paragraph" w:styleId="Piedepgina">
    <w:name w:val="footer"/>
    <w:basedOn w:val="Normal"/>
    <w:link w:val="PiedepginaCar"/>
    <w:uiPriority w:val="99"/>
    <w:unhideWhenUsed/>
    <w:rsid w:val="00784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76E"/>
    <w:rPr>
      <w:rFonts w:ascii="Arial" w:eastAsia="Arial" w:hAnsi="Arial" w:cs="Arial"/>
      <w:lang w:val="es-AR" w:eastAsia="es-AR" w:bidi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4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E2"/>
    <w:rPr>
      <w:rFonts w:ascii="Segoe UI" w:eastAsia="Arial" w:hAnsi="Segoe UI" w:cs="Segoe UI"/>
      <w:sz w:val="18"/>
      <w:szCs w:val="18"/>
      <w:lang w:val="es-AR" w:eastAsia="es-AR" w:bidi="es-AR"/>
    </w:rPr>
  </w:style>
  <w:style w:type="character" w:styleId="Hipervnculo">
    <w:name w:val="Hyperlink"/>
    <w:basedOn w:val="Fuentedeprrafopredeter"/>
    <w:uiPriority w:val="99"/>
    <w:unhideWhenUsed/>
    <w:rsid w:val="00E96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erciosal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</dc:creator>
  <cp:lastModifiedBy>Mercedes Molina</cp:lastModifiedBy>
  <cp:revision>2</cp:revision>
  <cp:lastPrinted>2018-04-11T11:25:00Z</cp:lastPrinted>
  <dcterms:created xsi:type="dcterms:W3CDTF">2018-04-13T17:03:00Z</dcterms:created>
  <dcterms:modified xsi:type="dcterms:W3CDTF">2018-04-13T17:03:00Z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2018-04-11T00:00:00Z</vt:filetime>
  </property>
</Properties>
</file>